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46C0E" w:rsidRPr="005C5433" w:rsidRDefault="00012E8A" w:rsidP="005C5433">
      <w:pPr>
        <w:jc w:val="right"/>
        <w:rPr>
          <w:sz w:val="24"/>
          <w:szCs w:val="24"/>
        </w:rPr>
      </w:pPr>
      <w:r w:rsidRPr="005C5433">
        <w:rPr>
          <w:sz w:val="24"/>
          <w:szCs w:val="24"/>
        </w:rPr>
        <w:t xml:space="preserve"> </w:t>
      </w:r>
      <w:r w:rsidR="00646C0E" w:rsidRPr="005C5433">
        <w:rPr>
          <w:sz w:val="24"/>
          <w:szCs w:val="24"/>
        </w:rPr>
        <w:t>«</w:t>
      </w:r>
      <w:r w:rsidR="008913B2">
        <w:rPr>
          <w:sz w:val="24"/>
          <w:szCs w:val="24"/>
        </w:rPr>
        <w:t>09</w:t>
      </w:r>
      <w:r w:rsidR="00646C0E" w:rsidRPr="005C5433">
        <w:rPr>
          <w:sz w:val="24"/>
          <w:szCs w:val="24"/>
        </w:rPr>
        <w:t xml:space="preserve">» </w:t>
      </w:r>
      <w:r w:rsidR="00B40FF3">
        <w:rPr>
          <w:sz w:val="24"/>
          <w:szCs w:val="24"/>
        </w:rPr>
        <w:t>августа</w:t>
      </w:r>
      <w:r w:rsidR="00DC7AA2" w:rsidRPr="005C5433">
        <w:rPr>
          <w:sz w:val="24"/>
          <w:szCs w:val="24"/>
        </w:rPr>
        <w:t xml:space="preserve"> </w:t>
      </w:r>
      <w:r w:rsidR="00646C0E" w:rsidRPr="005C5433">
        <w:rPr>
          <w:sz w:val="24"/>
          <w:szCs w:val="24"/>
        </w:rPr>
        <w:t>201</w:t>
      </w:r>
      <w:r w:rsidR="006952C3" w:rsidRPr="005C5433">
        <w:rPr>
          <w:sz w:val="24"/>
          <w:szCs w:val="24"/>
        </w:rPr>
        <w:t>8</w:t>
      </w:r>
      <w:r w:rsidR="00646C0E" w:rsidRPr="005C5433">
        <w:rPr>
          <w:sz w:val="24"/>
          <w:szCs w:val="24"/>
        </w:rPr>
        <w:t xml:space="preserve"> года </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001B9B">
        <w:rPr>
          <w:b/>
          <w:sz w:val="24"/>
          <w:szCs w:val="24"/>
        </w:rPr>
        <w:t>аукционную</w:t>
      </w:r>
      <w:r w:rsidR="00F21805" w:rsidRPr="005C5433">
        <w:rPr>
          <w:b/>
          <w:sz w:val="24"/>
          <w:szCs w:val="24"/>
        </w:rPr>
        <w:t xml:space="preserve"> документацию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аукцион</w:t>
      </w:r>
      <w:r w:rsidR="00001B9B">
        <w:rPr>
          <w:b/>
          <w:bCs/>
          <w:sz w:val="24"/>
          <w:szCs w:val="24"/>
        </w:rPr>
        <w:t>а</w:t>
      </w:r>
      <w:r w:rsidR="00001B9B" w:rsidRPr="00001B9B">
        <w:rPr>
          <w:b/>
          <w:bCs/>
          <w:sz w:val="24"/>
          <w:szCs w:val="24"/>
        </w:rPr>
        <w:t xml:space="preserve"> в электронной форме №</w:t>
      </w:r>
      <w:r w:rsidR="00B40FF3">
        <w:rPr>
          <w:b/>
          <w:bCs/>
          <w:sz w:val="24"/>
          <w:szCs w:val="24"/>
        </w:rPr>
        <w:t>21</w:t>
      </w:r>
      <w:r w:rsidR="00001B9B" w:rsidRPr="00001B9B">
        <w:rPr>
          <w:b/>
          <w:bCs/>
          <w:sz w:val="24"/>
          <w:szCs w:val="24"/>
        </w:rPr>
        <w:t xml:space="preserve">/ОАЭ-ДГТ/18 </w:t>
      </w:r>
      <w:r w:rsidR="006952C3" w:rsidRPr="005C5433">
        <w:rPr>
          <w:bCs/>
          <w:sz w:val="24"/>
          <w:szCs w:val="24"/>
        </w:rPr>
        <w:t xml:space="preserve"> </w:t>
      </w:r>
      <w:r w:rsidR="00001B9B">
        <w:rPr>
          <w:b/>
          <w:bCs/>
          <w:sz w:val="24"/>
          <w:szCs w:val="24"/>
        </w:rPr>
        <w:t>н</w:t>
      </w:r>
      <w:r w:rsidR="00001B9B" w:rsidRPr="00001B9B">
        <w:rPr>
          <w:b/>
          <w:bCs/>
          <w:sz w:val="24"/>
          <w:szCs w:val="24"/>
        </w:rPr>
        <w:t xml:space="preserve">а право </w:t>
      </w:r>
      <w:r w:rsidR="00B40FF3" w:rsidRPr="00B40FF3">
        <w:rPr>
          <w:b/>
          <w:bCs/>
          <w:sz w:val="24"/>
          <w:szCs w:val="24"/>
        </w:rPr>
        <w:t>поставки  расходных материалов для копировально-множительной техники</w:t>
      </w:r>
    </w:p>
    <w:p w:rsidR="0067097D" w:rsidRPr="005C5433" w:rsidRDefault="0067097D" w:rsidP="005C5433">
      <w:pPr>
        <w:jc w:val="center"/>
        <w:rPr>
          <w:b/>
          <w:bCs/>
          <w:sz w:val="24"/>
          <w:szCs w:val="24"/>
        </w:rPr>
      </w:pPr>
    </w:p>
    <w:p w:rsidR="0067097D" w:rsidRPr="0067097D" w:rsidRDefault="00B40FF3" w:rsidP="00B40FF3">
      <w:pPr>
        <w:pStyle w:val="a9"/>
        <w:numPr>
          <w:ilvl w:val="0"/>
          <w:numId w:val="11"/>
        </w:numPr>
        <w:jc w:val="both"/>
        <w:rPr>
          <w:b/>
          <w:sz w:val="24"/>
          <w:szCs w:val="24"/>
        </w:rPr>
      </w:pPr>
      <w:r w:rsidRPr="00B40FF3">
        <w:rPr>
          <w:b/>
          <w:sz w:val="24"/>
          <w:szCs w:val="24"/>
        </w:rPr>
        <w:t xml:space="preserve">Внести изменения </w:t>
      </w:r>
      <w:r>
        <w:rPr>
          <w:b/>
          <w:sz w:val="24"/>
          <w:szCs w:val="24"/>
        </w:rPr>
        <w:t xml:space="preserve">в Таблицу № 1 </w:t>
      </w:r>
      <w:proofErr w:type="spellStart"/>
      <w:r>
        <w:rPr>
          <w:b/>
          <w:sz w:val="24"/>
          <w:szCs w:val="24"/>
        </w:rPr>
        <w:t>п.п</w:t>
      </w:r>
      <w:proofErr w:type="spellEnd"/>
      <w:r>
        <w:rPr>
          <w:b/>
          <w:sz w:val="24"/>
          <w:szCs w:val="24"/>
        </w:rPr>
        <w:t>. 3.1.1. аукционной</w:t>
      </w:r>
      <w:r w:rsidR="0067097D" w:rsidRPr="0067097D">
        <w:rPr>
          <w:b/>
          <w:sz w:val="24"/>
          <w:szCs w:val="24"/>
        </w:rPr>
        <w:t xml:space="preserve"> документаци</w:t>
      </w:r>
      <w:r>
        <w:rPr>
          <w:b/>
          <w:sz w:val="24"/>
          <w:szCs w:val="24"/>
        </w:rPr>
        <w:t>и</w:t>
      </w:r>
      <w:r w:rsidR="0067097D" w:rsidRPr="0067097D">
        <w:rPr>
          <w:b/>
          <w:sz w:val="24"/>
          <w:szCs w:val="24"/>
        </w:rPr>
        <w:t xml:space="preserve"> </w:t>
      </w:r>
      <w:r>
        <w:rPr>
          <w:b/>
          <w:sz w:val="24"/>
          <w:szCs w:val="24"/>
        </w:rPr>
        <w:t xml:space="preserve">и изложить </w:t>
      </w:r>
      <w:r w:rsidR="0067097D" w:rsidRPr="0067097D">
        <w:rPr>
          <w:b/>
          <w:sz w:val="24"/>
          <w:szCs w:val="24"/>
        </w:rPr>
        <w:t>в следующей редакции:</w:t>
      </w:r>
    </w:p>
    <w:p w:rsidR="00B40FF3" w:rsidRPr="00B40FF3" w:rsidRDefault="00B40FF3" w:rsidP="00B40FF3">
      <w:pPr>
        <w:pStyle w:val="a9"/>
        <w:ind w:left="360"/>
        <w:jc w:val="both"/>
        <w:rPr>
          <w:sz w:val="24"/>
          <w:szCs w:val="24"/>
        </w:rPr>
      </w:pPr>
      <w:r>
        <w:rPr>
          <w:sz w:val="24"/>
          <w:szCs w:val="24"/>
        </w:rPr>
        <w:t xml:space="preserve">                                                                                                                         </w:t>
      </w:r>
      <w:r w:rsidRPr="00B40FF3">
        <w:rPr>
          <w:sz w:val="24"/>
          <w:szCs w:val="24"/>
        </w:rPr>
        <w:t xml:space="preserve">Таблица № 1.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237"/>
        <w:gridCol w:w="1276"/>
        <w:gridCol w:w="1418"/>
      </w:tblGrid>
      <w:tr w:rsidR="00B40FF3" w:rsidRPr="00B40FF3" w:rsidTr="002E0776">
        <w:trPr>
          <w:trHeight w:val="300"/>
        </w:trPr>
        <w:tc>
          <w:tcPr>
            <w:tcW w:w="582" w:type="dxa"/>
          </w:tcPr>
          <w:p w:rsidR="00B40FF3" w:rsidRPr="00B40FF3" w:rsidRDefault="00B40FF3" w:rsidP="00B40FF3">
            <w:pPr>
              <w:jc w:val="both"/>
              <w:rPr>
                <w:sz w:val="24"/>
                <w:szCs w:val="24"/>
              </w:rPr>
            </w:pPr>
            <w:r w:rsidRPr="00B40FF3">
              <w:rPr>
                <w:sz w:val="24"/>
                <w:szCs w:val="24"/>
              </w:rPr>
              <w:t>№№</w:t>
            </w:r>
          </w:p>
        </w:tc>
        <w:tc>
          <w:tcPr>
            <w:tcW w:w="6237" w:type="dxa"/>
            <w:shd w:val="clear" w:color="auto" w:fill="auto"/>
            <w:noWrap/>
            <w:vAlign w:val="center"/>
            <w:hideMark/>
          </w:tcPr>
          <w:p w:rsidR="00B40FF3" w:rsidRPr="00B40FF3" w:rsidRDefault="00B40FF3" w:rsidP="00B40FF3">
            <w:pPr>
              <w:pStyle w:val="a9"/>
              <w:ind w:left="360"/>
              <w:jc w:val="both"/>
              <w:rPr>
                <w:sz w:val="24"/>
                <w:szCs w:val="24"/>
              </w:rPr>
            </w:pPr>
            <w:r w:rsidRPr="00B40FF3">
              <w:rPr>
                <w:sz w:val="24"/>
                <w:szCs w:val="24"/>
              </w:rPr>
              <w:t>Наименование товара, характеристики</w:t>
            </w:r>
          </w:p>
        </w:tc>
        <w:tc>
          <w:tcPr>
            <w:tcW w:w="1276" w:type="dxa"/>
            <w:shd w:val="clear" w:color="auto" w:fill="auto"/>
            <w:vAlign w:val="center"/>
            <w:hideMark/>
          </w:tcPr>
          <w:p w:rsidR="00B40FF3" w:rsidRPr="00B40FF3" w:rsidRDefault="00B40FF3" w:rsidP="00B40FF3">
            <w:pPr>
              <w:pStyle w:val="a9"/>
              <w:ind w:left="360"/>
              <w:jc w:val="both"/>
              <w:rPr>
                <w:sz w:val="24"/>
                <w:szCs w:val="24"/>
              </w:rPr>
            </w:pPr>
            <w:r w:rsidRPr="00B40FF3">
              <w:rPr>
                <w:sz w:val="24"/>
                <w:szCs w:val="24"/>
              </w:rPr>
              <w:t>Ед. изм.</w:t>
            </w:r>
          </w:p>
        </w:tc>
        <w:tc>
          <w:tcPr>
            <w:tcW w:w="1418" w:type="dxa"/>
            <w:shd w:val="clear" w:color="auto" w:fill="auto"/>
            <w:vAlign w:val="center"/>
            <w:hideMark/>
          </w:tcPr>
          <w:p w:rsidR="00B40FF3" w:rsidRPr="00B40FF3" w:rsidRDefault="00B40FF3" w:rsidP="00B40FF3">
            <w:pPr>
              <w:jc w:val="both"/>
              <w:rPr>
                <w:sz w:val="24"/>
                <w:szCs w:val="24"/>
              </w:rPr>
            </w:pPr>
            <w:r w:rsidRPr="00B40FF3">
              <w:rPr>
                <w:sz w:val="24"/>
                <w:szCs w:val="24"/>
              </w:rPr>
              <w:t>Общее количество</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 xml:space="preserve">Тонер </w:t>
            </w:r>
            <w:proofErr w:type="spellStart"/>
            <w:r w:rsidRPr="00B40FF3">
              <w:rPr>
                <w:sz w:val="24"/>
                <w:szCs w:val="24"/>
              </w:rPr>
              <w:t>Xerox</w:t>
            </w:r>
            <w:proofErr w:type="spellEnd"/>
            <w:r w:rsidRPr="00B40FF3">
              <w:rPr>
                <w:sz w:val="24"/>
                <w:szCs w:val="24"/>
              </w:rPr>
              <w:t xml:space="preserve"> AltaLink8075  006R01683</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20</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 xml:space="preserve">Тонер </w:t>
            </w:r>
            <w:proofErr w:type="spellStart"/>
            <w:r w:rsidRPr="00B40FF3">
              <w:rPr>
                <w:sz w:val="24"/>
                <w:szCs w:val="24"/>
              </w:rPr>
              <w:t>Rowe</w:t>
            </w:r>
            <w:proofErr w:type="spellEnd"/>
            <w:r w:rsidRPr="00B40FF3">
              <w:rPr>
                <w:sz w:val="24"/>
                <w:szCs w:val="24"/>
              </w:rPr>
              <w:t xml:space="preserve"> i6 BT00000700022</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40</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tcPr>
          <w:p w:rsidR="00B40FF3" w:rsidRPr="00B40FF3" w:rsidRDefault="00B40FF3" w:rsidP="00B40FF3">
            <w:pPr>
              <w:pStyle w:val="a9"/>
              <w:ind w:left="360"/>
              <w:jc w:val="both"/>
              <w:rPr>
                <w:sz w:val="24"/>
                <w:szCs w:val="24"/>
              </w:rPr>
            </w:pPr>
            <w:r w:rsidRPr="00B40FF3">
              <w:rPr>
                <w:sz w:val="24"/>
                <w:szCs w:val="24"/>
              </w:rPr>
              <w:t>Картридж PFI -707 MBK матовый черный IPF-840</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12</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tcPr>
          <w:p w:rsidR="00B40FF3" w:rsidRPr="00B40FF3" w:rsidRDefault="00B40FF3" w:rsidP="00B40FF3">
            <w:pPr>
              <w:pStyle w:val="a9"/>
              <w:ind w:left="360"/>
              <w:jc w:val="both"/>
              <w:rPr>
                <w:sz w:val="24"/>
                <w:szCs w:val="24"/>
              </w:rPr>
            </w:pPr>
            <w:r w:rsidRPr="00B40FF3">
              <w:rPr>
                <w:sz w:val="24"/>
                <w:szCs w:val="24"/>
              </w:rPr>
              <w:t>Картридж PFI -707</w:t>
            </w:r>
            <w:proofErr w:type="gramStart"/>
            <w:r w:rsidRPr="00B40FF3">
              <w:rPr>
                <w:sz w:val="24"/>
                <w:szCs w:val="24"/>
              </w:rPr>
              <w:t xml:space="preserve"> С</w:t>
            </w:r>
            <w:proofErr w:type="gramEnd"/>
            <w:r w:rsidRPr="00B40FF3">
              <w:rPr>
                <w:sz w:val="24"/>
                <w:szCs w:val="24"/>
              </w:rPr>
              <w:t xml:space="preserve"> голубой IPF-840</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6</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tcPr>
          <w:p w:rsidR="00B40FF3" w:rsidRPr="00B40FF3" w:rsidRDefault="00B40FF3" w:rsidP="00B40FF3">
            <w:pPr>
              <w:pStyle w:val="a9"/>
              <w:ind w:left="360"/>
              <w:jc w:val="both"/>
              <w:rPr>
                <w:sz w:val="24"/>
                <w:szCs w:val="24"/>
              </w:rPr>
            </w:pPr>
            <w:r w:rsidRPr="00B40FF3">
              <w:rPr>
                <w:sz w:val="24"/>
                <w:szCs w:val="24"/>
              </w:rPr>
              <w:t>Картридж PFI -707 М пурпурный IPF-840</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6</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tcPr>
          <w:p w:rsidR="00B40FF3" w:rsidRPr="00B40FF3" w:rsidRDefault="00B40FF3" w:rsidP="00B40FF3">
            <w:pPr>
              <w:pStyle w:val="a9"/>
              <w:ind w:left="360"/>
              <w:jc w:val="both"/>
              <w:rPr>
                <w:sz w:val="24"/>
                <w:szCs w:val="24"/>
              </w:rPr>
            </w:pPr>
            <w:r w:rsidRPr="00B40FF3">
              <w:rPr>
                <w:sz w:val="24"/>
                <w:szCs w:val="24"/>
              </w:rPr>
              <w:t>Картридж PFI -707 Y жёлтый IPF-840</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6</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tcPr>
          <w:p w:rsidR="00B40FF3" w:rsidRPr="00B40FF3" w:rsidRDefault="00B40FF3" w:rsidP="00B40FF3">
            <w:pPr>
              <w:pStyle w:val="a9"/>
              <w:ind w:left="360"/>
              <w:jc w:val="both"/>
              <w:rPr>
                <w:sz w:val="24"/>
                <w:szCs w:val="24"/>
              </w:rPr>
            </w:pPr>
            <w:r w:rsidRPr="00B40FF3">
              <w:rPr>
                <w:sz w:val="24"/>
                <w:szCs w:val="24"/>
              </w:rPr>
              <w:t xml:space="preserve">Тонер </w:t>
            </w:r>
            <w:proofErr w:type="spellStart"/>
            <w:r w:rsidRPr="00B40FF3">
              <w:rPr>
                <w:sz w:val="24"/>
                <w:szCs w:val="24"/>
              </w:rPr>
              <w:t>Phaser</w:t>
            </w:r>
            <w:proofErr w:type="spellEnd"/>
            <w:r w:rsidRPr="00B40FF3">
              <w:rPr>
                <w:sz w:val="24"/>
                <w:szCs w:val="24"/>
              </w:rPr>
              <w:t xml:space="preserve"> 7800 голубой 106R01570</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7</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tcPr>
          <w:p w:rsidR="00B40FF3" w:rsidRPr="00B40FF3" w:rsidRDefault="00B40FF3" w:rsidP="00B40FF3">
            <w:pPr>
              <w:pStyle w:val="a9"/>
              <w:ind w:left="360"/>
              <w:jc w:val="both"/>
              <w:rPr>
                <w:sz w:val="24"/>
                <w:szCs w:val="24"/>
              </w:rPr>
            </w:pPr>
            <w:r w:rsidRPr="00B40FF3">
              <w:rPr>
                <w:sz w:val="24"/>
                <w:szCs w:val="24"/>
              </w:rPr>
              <w:t xml:space="preserve">Тонер </w:t>
            </w:r>
            <w:proofErr w:type="spellStart"/>
            <w:r w:rsidRPr="00B40FF3">
              <w:rPr>
                <w:sz w:val="24"/>
                <w:szCs w:val="24"/>
              </w:rPr>
              <w:t>Phaser</w:t>
            </w:r>
            <w:proofErr w:type="spellEnd"/>
            <w:r w:rsidRPr="00B40FF3">
              <w:rPr>
                <w:sz w:val="24"/>
                <w:szCs w:val="24"/>
              </w:rPr>
              <w:t xml:space="preserve"> 7800 малиновый 106R01571</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7</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tcPr>
          <w:p w:rsidR="00B40FF3" w:rsidRPr="00B40FF3" w:rsidRDefault="00B40FF3" w:rsidP="00B40FF3">
            <w:pPr>
              <w:pStyle w:val="a9"/>
              <w:ind w:left="360"/>
              <w:jc w:val="both"/>
              <w:rPr>
                <w:sz w:val="24"/>
                <w:szCs w:val="24"/>
              </w:rPr>
            </w:pPr>
            <w:r w:rsidRPr="00B40FF3">
              <w:rPr>
                <w:sz w:val="24"/>
                <w:szCs w:val="24"/>
              </w:rPr>
              <w:t xml:space="preserve">Тонер </w:t>
            </w:r>
            <w:proofErr w:type="spellStart"/>
            <w:r w:rsidRPr="00B40FF3">
              <w:rPr>
                <w:sz w:val="24"/>
                <w:szCs w:val="24"/>
              </w:rPr>
              <w:t>Phaser</w:t>
            </w:r>
            <w:proofErr w:type="spellEnd"/>
            <w:r w:rsidRPr="00B40FF3">
              <w:rPr>
                <w:sz w:val="24"/>
                <w:szCs w:val="24"/>
              </w:rPr>
              <w:t xml:space="preserve"> 7800 жёлтый 106R01572</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7</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tcPr>
          <w:p w:rsidR="00B40FF3" w:rsidRPr="00B40FF3" w:rsidRDefault="00B40FF3" w:rsidP="00B40FF3">
            <w:pPr>
              <w:pStyle w:val="a9"/>
              <w:ind w:left="360"/>
              <w:jc w:val="both"/>
              <w:rPr>
                <w:sz w:val="24"/>
                <w:szCs w:val="24"/>
              </w:rPr>
            </w:pPr>
            <w:r w:rsidRPr="00B40FF3">
              <w:rPr>
                <w:sz w:val="24"/>
                <w:szCs w:val="24"/>
              </w:rPr>
              <w:t xml:space="preserve">Тонер </w:t>
            </w:r>
            <w:proofErr w:type="spellStart"/>
            <w:r w:rsidRPr="00B40FF3">
              <w:rPr>
                <w:sz w:val="24"/>
                <w:szCs w:val="24"/>
              </w:rPr>
              <w:t>Phaser</w:t>
            </w:r>
            <w:proofErr w:type="spellEnd"/>
            <w:r w:rsidRPr="00B40FF3">
              <w:rPr>
                <w:sz w:val="24"/>
                <w:szCs w:val="24"/>
              </w:rPr>
              <w:t xml:space="preserve"> 7800 чёрный 106R01573</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7</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tcPr>
          <w:p w:rsidR="00B40FF3" w:rsidRPr="00B40FF3" w:rsidRDefault="00B40FF3" w:rsidP="00B40FF3">
            <w:pPr>
              <w:pStyle w:val="a9"/>
              <w:ind w:left="360"/>
              <w:jc w:val="both"/>
              <w:rPr>
                <w:sz w:val="24"/>
                <w:szCs w:val="24"/>
              </w:rPr>
            </w:pPr>
            <w:r w:rsidRPr="00B40FF3">
              <w:rPr>
                <w:sz w:val="24"/>
                <w:szCs w:val="24"/>
              </w:rPr>
              <w:t>Тонер WCP 5675/5775  006R01146</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20</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tcPr>
          <w:p w:rsidR="00B40FF3" w:rsidRPr="00B40FF3" w:rsidRDefault="00B40FF3" w:rsidP="00B40FF3">
            <w:pPr>
              <w:pStyle w:val="a9"/>
              <w:ind w:left="360"/>
              <w:jc w:val="both"/>
              <w:rPr>
                <w:sz w:val="24"/>
                <w:szCs w:val="24"/>
              </w:rPr>
            </w:pPr>
            <w:r w:rsidRPr="00B40FF3">
              <w:rPr>
                <w:sz w:val="24"/>
                <w:szCs w:val="24"/>
              </w:rPr>
              <w:t xml:space="preserve">Тонер-картридж </w:t>
            </w:r>
            <w:proofErr w:type="spellStart"/>
            <w:r w:rsidRPr="00B40FF3">
              <w:rPr>
                <w:sz w:val="24"/>
                <w:szCs w:val="24"/>
              </w:rPr>
              <w:t>Xerox</w:t>
            </w:r>
            <w:proofErr w:type="spellEnd"/>
            <w:r w:rsidRPr="00B40FF3">
              <w:rPr>
                <w:sz w:val="24"/>
                <w:szCs w:val="24"/>
              </w:rPr>
              <w:t xml:space="preserve"> 6204  006R01238</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30</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Чернила чёрные IJP 2000  008R13152</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6</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Чернила голубые IJP 2000  008R13153</w:t>
            </w:r>
          </w:p>
        </w:tc>
        <w:tc>
          <w:tcPr>
            <w:tcW w:w="1276" w:type="dxa"/>
            <w:shd w:val="clear" w:color="auto" w:fill="auto"/>
            <w:noWrap/>
            <w:vAlign w:val="bottom"/>
            <w:hideMark/>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3</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Чернила малиновые IJP 2000  008R13154</w:t>
            </w:r>
          </w:p>
        </w:tc>
        <w:tc>
          <w:tcPr>
            <w:tcW w:w="1276" w:type="dxa"/>
            <w:shd w:val="clear" w:color="auto" w:fill="auto"/>
            <w:noWrap/>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3</w:t>
            </w:r>
          </w:p>
        </w:tc>
      </w:tr>
      <w:tr w:rsidR="00B40FF3" w:rsidRPr="00B40FF3" w:rsidTr="002E0776">
        <w:trPr>
          <w:trHeight w:val="300"/>
        </w:trPr>
        <w:tc>
          <w:tcPr>
            <w:tcW w:w="582" w:type="dxa"/>
            <w:vAlign w:val="center"/>
          </w:tcPr>
          <w:p w:rsidR="00B40FF3" w:rsidRPr="00B40FF3" w:rsidRDefault="00B40FF3" w:rsidP="00B40FF3">
            <w:pPr>
              <w:pStyle w:val="a9"/>
              <w:numPr>
                <w:ilvl w:val="0"/>
                <w:numId w:val="14"/>
              </w:numPr>
              <w:jc w:val="both"/>
              <w:rPr>
                <w:sz w:val="24"/>
                <w:szCs w:val="24"/>
              </w:rPr>
            </w:pPr>
          </w:p>
        </w:tc>
        <w:tc>
          <w:tcPr>
            <w:tcW w:w="6237"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Чернила жёлтые IJP 2000  008R13155</w:t>
            </w:r>
          </w:p>
        </w:tc>
        <w:tc>
          <w:tcPr>
            <w:tcW w:w="1276" w:type="dxa"/>
            <w:shd w:val="clear" w:color="auto" w:fill="auto"/>
            <w:noWrap/>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3</w:t>
            </w:r>
          </w:p>
        </w:tc>
      </w:tr>
      <w:tr w:rsidR="00B40FF3" w:rsidRPr="00B40FF3" w:rsidTr="002E0776">
        <w:trPr>
          <w:trHeight w:val="300"/>
        </w:trPr>
        <w:tc>
          <w:tcPr>
            <w:tcW w:w="582" w:type="dxa"/>
            <w:vAlign w:val="center"/>
          </w:tcPr>
          <w:p w:rsidR="00B40FF3" w:rsidRPr="00B40FF3" w:rsidRDefault="00B40FF3" w:rsidP="00B40FF3">
            <w:pPr>
              <w:pStyle w:val="a9"/>
              <w:ind w:left="360"/>
              <w:jc w:val="both"/>
              <w:rPr>
                <w:sz w:val="24"/>
                <w:szCs w:val="24"/>
              </w:rPr>
            </w:pPr>
          </w:p>
        </w:tc>
        <w:tc>
          <w:tcPr>
            <w:tcW w:w="6237"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ИТОГО</w:t>
            </w:r>
          </w:p>
        </w:tc>
        <w:tc>
          <w:tcPr>
            <w:tcW w:w="1276" w:type="dxa"/>
            <w:shd w:val="clear" w:color="auto" w:fill="auto"/>
            <w:noWrap/>
            <w:vAlign w:val="bottom"/>
          </w:tcPr>
          <w:p w:rsidR="00B40FF3" w:rsidRPr="00B40FF3" w:rsidRDefault="00B40FF3" w:rsidP="00B40FF3">
            <w:pPr>
              <w:pStyle w:val="a9"/>
              <w:ind w:left="360"/>
              <w:jc w:val="both"/>
              <w:rPr>
                <w:sz w:val="24"/>
                <w:szCs w:val="24"/>
              </w:rPr>
            </w:pPr>
            <w:r w:rsidRPr="00B40FF3">
              <w:rPr>
                <w:sz w:val="24"/>
                <w:szCs w:val="24"/>
              </w:rPr>
              <w:t>шт.</w:t>
            </w:r>
          </w:p>
        </w:tc>
        <w:tc>
          <w:tcPr>
            <w:tcW w:w="1418" w:type="dxa"/>
            <w:shd w:val="clear" w:color="auto" w:fill="auto"/>
            <w:noWrap/>
          </w:tcPr>
          <w:p w:rsidR="00B40FF3" w:rsidRPr="00B40FF3" w:rsidRDefault="00B40FF3" w:rsidP="00B40FF3">
            <w:pPr>
              <w:pStyle w:val="a9"/>
              <w:ind w:left="360"/>
              <w:jc w:val="both"/>
              <w:rPr>
                <w:sz w:val="24"/>
                <w:szCs w:val="24"/>
              </w:rPr>
            </w:pPr>
            <w:r w:rsidRPr="00B40FF3">
              <w:rPr>
                <w:sz w:val="24"/>
                <w:szCs w:val="24"/>
              </w:rPr>
              <w:t>183</w:t>
            </w:r>
          </w:p>
        </w:tc>
      </w:tr>
    </w:tbl>
    <w:p w:rsidR="007B1537" w:rsidRDefault="007B1537" w:rsidP="005C5433">
      <w:pPr>
        <w:pStyle w:val="a9"/>
        <w:ind w:left="360"/>
        <w:jc w:val="both"/>
        <w:rPr>
          <w:sz w:val="24"/>
          <w:szCs w:val="24"/>
        </w:rPr>
      </w:pPr>
    </w:p>
    <w:p w:rsidR="007B1537" w:rsidRPr="007B1537" w:rsidRDefault="007B1537" w:rsidP="005C5433">
      <w:pPr>
        <w:pStyle w:val="a9"/>
        <w:ind w:left="360"/>
        <w:jc w:val="both"/>
        <w:rPr>
          <w:b/>
          <w:sz w:val="24"/>
          <w:szCs w:val="24"/>
        </w:rPr>
      </w:pPr>
    </w:p>
    <w:p w:rsidR="007B1537" w:rsidRDefault="007B1537" w:rsidP="007B1537">
      <w:pPr>
        <w:pStyle w:val="a9"/>
        <w:numPr>
          <w:ilvl w:val="0"/>
          <w:numId w:val="11"/>
        </w:numPr>
        <w:jc w:val="both"/>
        <w:rPr>
          <w:b/>
          <w:sz w:val="24"/>
          <w:szCs w:val="24"/>
        </w:rPr>
      </w:pPr>
      <w:r w:rsidRPr="007B1537">
        <w:rPr>
          <w:b/>
          <w:sz w:val="24"/>
          <w:szCs w:val="24"/>
        </w:rPr>
        <w:t xml:space="preserve">Внести изменения </w:t>
      </w:r>
      <w:r>
        <w:rPr>
          <w:b/>
          <w:sz w:val="24"/>
          <w:szCs w:val="24"/>
        </w:rPr>
        <w:t xml:space="preserve">в </w:t>
      </w:r>
      <w:proofErr w:type="spellStart"/>
      <w:r w:rsidR="00B40FF3">
        <w:rPr>
          <w:b/>
          <w:sz w:val="24"/>
          <w:szCs w:val="24"/>
        </w:rPr>
        <w:t>п.п</w:t>
      </w:r>
      <w:proofErr w:type="spellEnd"/>
      <w:r w:rsidR="00B40FF3">
        <w:rPr>
          <w:b/>
          <w:sz w:val="24"/>
          <w:szCs w:val="24"/>
        </w:rPr>
        <w:t>. 7.1.8.13.</w:t>
      </w:r>
      <w:r>
        <w:rPr>
          <w:b/>
          <w:sz w:val="24"/>
          <w:szCs w:val="24"/>
        </w:rPr>
        <w:t xml:space="preserve"> аукционной документации и изложить в следующей редакции:</w:t>
      </w:r>
    </w:p>
    <w:p w:rsidR="00B40FF3" w:rsidRPr="00B40FF3" w:rsidRDefault="00B40FF3" w:rsidP="00B40FF3">
      <w:pPr>
        <w:pStyle w:val="a3"/>
        <w:tabs>
          <w:tab w:val="left" w:pos="0"/>
          <w:tab w:val="left" w:pos="1701"/>
        </w:tabs>
        <w:spacing w:after="0"/>
        <w:jc w:val="both"/>
        <w:rPr>
          <w:iCs/>
          <w:sz w:val="24"/>
          <w:szCs w:val="24"/>
        </w:rPr>
      </w:pPr>
      <w:r>
        <w:rPr>
          <w:iCs/>
          <w:sz w:val="24"/>
          <w:szCs w:val="24"/>
        </w:rPr>
        <w:t xml:space="preserve">7.1.8.13. </w:t>
      </w:r>
      <w:r w:rsidRPr="00B40FF3">
        <w:rPr>
          <w:iCs/>
          <w:sz w:val="24"/>
          <w:szCs w:val="24"/>
        </w:rPr>
        <w:t>документ по форме приложения № 4 к аукционной документации с приложениями (при необходимости). Документы должны быть сканированы с оригинала или нотариально заверенной копии.</w:t>
      </w:r>
    </w:p>
    <w:p w:rsidR="007B1537" w:rsidRDefault="007B1537" w:rsidP="005C5433">
      <w:pPr>
        <w:pStyle w:val="a9"/>
        <w:ind w:left="36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bookmarkStart w:id="0" w:name="_GoBack"/>
      <w:bookmarkEnd w:id="0"/>
    </w:p>
    <w:sectPr w:rsidR="00C10CB4" w:rsidRPr="005C5433" w:rsidSect="007B1537">
      <w:pgSz w:w="11906" w:h="16838"/>
      <w:pgMar w:top="680"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4">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C107F7"/>
    <w:multiLevelType w:val="hybridMultilevel"/>
    <w:tmpl w:val="6AFCCE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E04539"/>
    <w:multiLevelType w:val="multilevel"/>
    <w:tmpl w:val="B31CAC12"/>
    <w:lvl w:ilvl="0">
      <w:start w:val="7"/>
      <w:numFmt w:val="decimal"/>
      <w:lvlText w:val="%1."/>
      <w:lvlJc w:val="left"/>
      <w:pPr>
        <w:ind w:left="1050" w:hanging="1050"/>
      </w:pPr>
      <w:rPr>
        <w:rFonts w:hint="default"/>
      </w:rPr>
    </w:lvl>
    <w:lvl w:ilvl="1">
      <w:start w:val="1"/>
      <w:numFmt w:val="decimal"/>
      <w:lvlText w:val="%1.%2."/>
      <w:lvlJc w:val="left"/>
      <w:pPr>
        <w:ind w:left="1428" w:hanging="1050"/>
      </w:pPr>
      <w:rPr>
        <w:rFonts w:hint="default"/>
      </w:rPr>
    </w:lvl>
    <w:lvl w:ilvl="2">
      <w:start w:val="8"/>
      <w:numFmt w:val="decimal"/>
      <w:lvlText w:val="%1.%2.%3."/>
      <w:lvlJc w:val="left"/>
      <w:pPr>
        <w:ind w:left="1806" w:hanging="1050"/>
      </w:pPr>
      <w:rPr>
        <w:rFonts w:hint="default"/>
      </w:rPr>
    </w:lvl>
    <w:lvl w:ilvl="3">
      <w:start w:val="13"/>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1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215"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5"/>
  </w:num>
  <w:num w:numId="5">
    <w:abstractNumId w:val="11"/>
  </w:num>
  <w:num w:numId="6">
    <w:abstractNumId w:val="6"/>
  </w:num>
  <w:num w:numId="7">
    <w:abstractNumId w:val="7"/>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2E8A"/>
    <w:rsid w:val="00014880"/>
    <w:rsid w:val="00030F08"/>
    <w:rsid w:val="00044CA9"/>
    <w:rsid w:val="00076B82"/>
    <w:rsid w:val="00153AF1"/>
    <w:rsid w:val="00163482"/>
    <w:rsid w:val="001676CC"/>
    <w:rsid w:val="001D1CE1"/>
    <w:rsid w:val="001F72F1"/>
    <w:rsid w:val="002241FC"/>
    <w:rsid w:val="0029629E"/>
    <w:rsid w:val="002A10B3"/>
    <w:rsid w:val="002B516D"/>
    <w:rsid w:val="002B7B01"/>
    <w:rsid w:val="002E0BE2"/>
    <w:rsid w:val="002F285D"/>
    <w:rsid w:val="0031415F"/>
    <w:rsid w:val="003147E9"/>
    <w:rsid w:val="00326E89"/>
    <w:rsid w:val="003308FF"/>
    <w:rsid w:val="00364014"/>
    <w:rsid w:val="0037565F"/>
    <w:rsid w:val="00415593"/>
    <w:rsid w:val="00446432"/>
    <w:rsid w:val="00454066"/>
    <w:rsid w:val="00463D45"/>
    <w:rsid w:val="004B2CD4"/>
    <w:rsid w:val="005152D9"/>
    <w:rsid w:val="005B4E0E"/>
    <w:rsid w:val="005C5433"/>
    <w:rsid w:val="00646C0E"/>
    <w:rsid w:val="00654189"/>
    <w:rsid w:val="0067097D"/>
    <w:rsid w:val="006952C3"/>
    <w:rsid w:val="006A615D"/>
    <w:rsid w:val="006B6810"/>
    <w:rsid w:val="006E2EE1"/>
    <w:rsid w:val="007138FD"/>
    <w:rsid w:val="007A2C63"/>
    <w:rsid w:val="007B1537"/>
    <w:rsid w:val="00800227"/>
    <w:rsid w:val="00817960"/>
    <w:rsid w:val="00822430"/>
    <w:rsid w:val="00834B92"/>
    <w:rsid w:val="00845147"/>
    <w:rsid w:val="008464BB"/>
    <w:rsid w:val="008477AC"/>
    <w:rsid w:val="008913B2"/>
    <w:rsid w:val="00895E3B"/>
    <w:rsid w:val="008F1569"/>
    <w:rsid w:val="009F15E4"/>
    <w:rsid w:val="00A23B72"/>
    <w:rsid w:val="00A331E3"/>
    <w:rsid w:val="00A3673D"/>
    <w:rsid w:val="00A7668C"/>
    <w:rsid w:val="00A85A40"/>
    <w:rsid w:val="00A8648E"/>
    <w:rsid w:val="00A949BD"/>
    <w:rsid w:val="00AA4C2E"/>
    <w:rsid w:val="00B10D42"/>
    <w:rsid w:val="00B40FF3"/>
    <w:rsid w:val="00BB2D8D"/>
    <w:rsid w:val="00BD6325"/>
    <w:rsid w:val="00BF3DC3"/>
    <w:rsid w:val="00C10CB4"/>
    <w:rsid w:val="00C20E4D"/>
    <w:rsid w:val="00C94FEC"/>
    <w:rsid w:val="00D0062C"/>
    <w:rsid w:val="00D053E2"/>
    <w:rsid w:val="00D25298"/>
    <w:rsid w:val="00DC2A49"/>
    <w:rsid w:val="00DC7AA2"/>
    <w:rsid w:val="00DE363C"/>
    <w:rsid w:val="00E51C76"/>
    <w:rsid w:val="00E83500"/>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23</cp:revision>
  <cp:lastPrinted>2018-04-22T21:41:00Z</cp:lastPrinted>
  <dcterms:created xsi:type="dcterms:W3CDTF">2017-04-24T04:45:00Z</dcterms:created>
  <dcterms:modified xsi:type="dcterms:W3CDTF">2018-08-09T08:20:00Z</dcterms:modified>
</cp:coreProperties>
</file>